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rPr>
      </w:pPr>
      <w:r w:rsidDel="00000000" w:rsidR="00000000" w:rsidRPr="00000000">
        <w:rPr>
          <w:b w:val="1"/>
          <w:rtl w:val="0"/>
        </w:rPr>
        <w:t xml:space="preserve">KODAK LLEGA A MÉXICO CON SOLUCIONES PARA MEJORAR TU VISIÓN</w:t>
      </w:r>
    </w:p>
    <w:p w:rsidR="00000000" w:rsidDel="00000000" w:rsidP="00000000" w:rsidRDefault="00000000" w:rsidRPr="00000000" w14:paraId="00000002">
      <w:pPr>
        <w:jc w:val="center"/>
        <w:rPr>
          <w:b w:val="1"/>
        </w:rPr>
      </w:pPr>
      <w:r w:rsidDel="00000000" w:rsidR="00000000" w:rsidRPr="00000000">
        <w:rPr>
          <w:rtl w:val="0"/>
        </w:rPr>
      </w:r>
    </w:p>
    <w:p w:rsidR="00000000" w:rsidDel="00000000" w:rsidP="00000000" w:rsidRDefault="00000000" w:rsidRPr="00000000" w14:paraId="00000003">
      <w:pPr>
        <w:jc w:val="both"/>
        <w:rPr/>
      </w:pPr>
      <w:r w:rsidDel="00000000" w:rsidR="00000000" w:rsidRPr="00000000">
        <w:rPr>
          <w:b w:val="1"/>
          <w:rtl w:val="0"/>
        </w:rPr>
        <w:t xml:space="preserve">Ciudad de México, 26 de julio-</w:t>
      </w:r>
      <w:r w:rsidDel="00000000" w:rsidR="00000000" w:rsidRPr="00000000">
        <w:rPr>
          <w:rtl w:val="0"/>
        </w:rPr>
        <w:t xml:space="preserve"> El mar, el cielo, el amanecer o las hojas de un árbol tienen un punto en común que no se </w:t>
      </w:r>
      <w:r w:rsidDel="00000000" w:rsidR="00000000" w:rsidRPr="00000000">
        <w:rPr>
          <w:rtl w:val="0"/>
        </w:rPr>
        <w:t xml:space="preserve">encuentra</w:t>
      </w:r>
      <w:r w:rsidDel="00000000" w:rsidR="00000000" w:rsidRPr="00000000">
        <w:rPr>
          <w:rtl w:val="0"/>
        </w:rPr>
        <w:t xml:space="preserve"> en su textura ni en las siluetas, pero sí en su vibrante tonalidad: la fuerza del color. Así es como el azul, el verde o los naranjas de un atardecer se vuelven memorables. </w:t>
      </w:r>
    </w:p>
    <w:p w:rsidR="00000000" w:rsidDel="00000000" w:rsidP="00000000" w:rsidRDefault="00000000" w:rsidRPr="00000000" w14:paraId="00000004">
      <w:pPr>
        <w:jc w:val="both"/>
        <w:rPr/>
      </w:pPr>
      <w:r w:rsidDel="00000000" w:rsidR="00000000" w:rsidRPr="00000000">
        <w:rPr>
          <w:rtl w:val="0"/>
        </w:rPr>
      </w:r>
    </w:p>
    <w:p w:rsidR="00000000" w:rsidDel="00000000" w:rsidP="00000000" w:rsidRDefault="00000000" w:rsidRPr="00000000" w14:paraId="00000005">
      <w:pPr>
        <w:jc w:val="both"/>
        <w:rPr/>
      </w:pPr>
      <w:r w:rsidDel="00000000" w:rsidR="00000000" w:rsidRPr="00000000">
        <w:rPr>
          <w:rtl w:val="0"/>
        </w:rPr>
        <w:t xml:space="preserve">Bajo esta premisa, te compartimos que los lentes </w:t>
      </w:r>
      <w:r w:rsidDel="00000000" w:rsidR="00000000" w:rsidRPr="00000000">
        <w:rPr>
          <w:b w:val="1"/>
          <w:rtl w:val="0"/>
        </w:rPr>
        <w:t xml:space="preserve">KODAK</w:t>
      </w:r>
      <w:r w:rsidDel="00000000" w:rsidR="00000000" w:rsidRPr="00000000">
        <w:rPr>
          <w:rtl w:val="0"/>
        </w:rPr>
        <w:t xml:space="preserve"> llegan a México, con el lanzamiento de dos increíbles solucionen que reflejan su carácter y la herencia de las cámaras fotográficas que desde 1935 destacan por su t</w:t>
      </w:r>
      <w:r w:rsidDel="00000000" w:rsidR="00000000" w:rsidRPr="00000000">
        <w:rPr>
          <w:rtl w:val="0"/>
        </w:rPr>
        <w:t xml:space="preserve">ecnología enfocada en el color, amada y recordada por diferentes generaciones a las que ha brindado momentos únicos y llenos de felicidad.</w:t>
      </w:r>
    </w:p>
    <w:p w:rsidR="00000000" w:rsidDel="00000000" w:rsidP="00000000" w:rsidRDefault="00000000" w:rsidRPr="00000000" w14:paraId="00000006">
      <w:pPr>
        <w:jc w:val="both"/>
        <w:rPr/>
      </w:pPr>
      <w:r w:rsidDel="00000000" w:rsidR="00000000" w:rsidRPr="00000000">
        <w:rPr>
          <w:rtl w:val="0"/>
        </w:rPr>
      </w:r>
    </w:p>
    <w:p w:rsidR="00000000" w:rsidDel="00000000" w:rsidP="00000000" w:rsidRDefault="00000000" w:rsidRPr="00000000" w14:paraId="00000007">
      <w:pPr>
        <w:jc w:val="both"/>
        <w:rPr/>
      </w:pPr>
      <w:r w:rsidDel="00000000" w:rsidR="00000000" w:rsidRPr="00000000">
        <w:rPr>
          <w:rtl w:val="0"/>
        </w:rPr>
        <w:t xml:space="preserve">Hoy </w:t>
      </w:r>
      <w:r w:rsidDel="00000000" w:rsidR="00000000" w:rsidRPr="00000000">
        <w:rPr>
          <w:b w:val="1"/>
          <w:rtl w:val="0"/>
        </w:rPr>
        <w:t xml:space="preserve">KODAK</w:t>
      </w:r>
      <w:r w:rsidDel="00000000" w:rsidR="00000000" w:rsidRPr="00000000">
        <w:rPr>
          <w:rtl w:val="0"/>
        </w:rPr>
        <w:t xml:space="preserve"> nos permite seguir capturando imágenes pero de una forma novedosa: a través de </w:t>
      </w:r>
      <w:r w:rsidDel="00000000" w:rsidR="00000000" w:rsidRPr="00000000">
        <w:rPr>
          <w:b w:val="1"/>
          <w:rtl w:val="0"/>
        </w:rPr>
        <w:t xml:space="preserve">l</w:t>
      </w:r>
      <w:r w:rsidDel="00000000" w:rsidR="00000000" w:rsidRPr="00000000">
        <w:rPr>
          <w:b w:val="1"/>
          <w:rtl w:val="0"/>
        </w:rPr>
        <w:t xml:space="preserve">entes progresivos </w:t>
      </w:r>
      <w:r w:rsidDel="00000000" w:rsidR="00000000" w:rsidRPr="00000000">
        <w:rPr>
          <w:rtl w:val="0"/>
        </w:rPr>
        <w:t xml:space="preserve">para personas con presbicia (vista cansada, que aparece entre los 40 y 45 años) que buscan hacer un </w:t>
      </w:r>
      <w:r w:rsidDel="00000000" w:rsidR="00000000" w:rsidRPr="00000000">
        <w:rPr>
          <w:i w:val="1"/>
          <w:rtl w:val="0"/>
        </w:rPr>
        <w:t xml:space="preserve">statement</w:t>
      </w:r>
      <w:r w:rsidDel="00000000" w:rsidR="00000000" w:rsidRPr="00000000">
        <w:rPr>
          <w:rtl w:val="0"/>
        </w:rPr>
        <w:t xml:space="preserve">,</w:t>
      </w:r>
      <w:r w:rsidDel="00000000" w:rsidR="00000000" w:rsidRPr="00000000">
        <w:rPr>
          <w:i w:val="1"/>
          <w:rtl w:val="0"/>
        </w:rPr>
        <w:t xml:space="preserve"> </w:t>
      </w:r>
      <w:r w:rsidDel="00000000" w:rsidR="00000000" w:rsidRPr="00000000">
        <w:rPr>
          <w:rtl w:val="0"/>
        </w:rPr>
        <w:t xml:space="preserve">y también con</w:t>
      </w:r>
      <w:r w:rsidDel="00000000" w:rsidR="00000000" w:rsidRPr="00000000">
        <w:rPr>
          <w:b w:val="1"/>
          <w:rtl w:val="0"/>
        </w:rPr>
        <w:t xml:space="preserve"> lentes de visión sencilla</w:t>
      </w:r>
      <w:r w:rsidDel="00000000" w:rsidR="00000000" w:rsidRPr="00000000">
        <w:rPr>
          <w:rtl w:val="0"/>
        </w:rPr>
        <w:t xml:space="preserve"> para los jóvenes que se preocupan por cuidar su vista y desean ir más allá de las tendencias con clásicos que no pasan de moda. </w:t>
      </w:r>
    </w:p>
    <w:p w:rsidR="00000000" w:rsidDel="00000000" w:rsidP="00000000" w:rsidRDefault="00000000" w:rsidRPr="00000000" w14:paraId="00000008">
      <w:pPr>
        <w:jc w:val="both"/>
        <w:rPr/>
      </w:pPr>
      <w:r w:rsidDel="00000000" w:rsidR="00000000" w:rsidRPr="00000000">
        <w:rPr>
          <w:rtl w:val="0"/>
        </w:rPr>
      </w:r>
    </w:p>
    <w:p w:rsidR="00000000" w:rsidDel="00000000" w:rsidP="00000000" w:rsidRDefault="00000000" w:rsidRPr="00000000" w14:paraId="00000009">
      <w:pPr>
        <w:jc w:val="both"/>
        <w:rPr/>
      </w:pPr>
      <w:r w:rsidDel="00000000" w:rsidR="00000000" w:rsidRPr="00000000">
        <w:rPr>
          <w:rtl w:val="0"/>
        </w:rPr>
        <w:t xml:space="preserve">La gran noticia no termina ahí, porque afortunadamente existen opciones atractivas y asequibles, para que cada persona pueda demostrar su estilo y sea parte de una marca que con su legado e historia continúa presente, innovando constantemente para seguir brindando la calidad de siempre y darnos la bienvenida a una vida llena de colores. </w:t>
        <w:br w:type="textWrapping"/>
        <w:br w:type="textWrapping"/>
        <w:t xml:space="preserve">Los lentes </w:t>
      </w:r>
      <w:r w:rsidDel="00000000" w:rsidR="00000000" w:rsidRPr="00000000">
        <w:rPr>
          <w:b w:val="1"/>
          <w:rtl w:val="0"/>
        </w:rPr>
        <w:t xml:space="preserve">KODAK</w:t>
      </w:r>
      <w:r w:rsidDel="00000000" w:rsidR="00000000" w:rsidRPr="00000000">
        <w:rPr>
          <w:rtl w:val="0"/>
        </w:rPr>
        <w:t xml:space="preserve"> son solo una parte de la familia </w:t>
      </w:r>
      <w:r w:rsidDel="00000000" w:rsidR="00000000" w:rsidRPr="00000000">
        <w:rPr>
          <w:b w:val="1"/>
          <w:rtl w:val="0"/>
        </w:rPr>
        <w:t xml:space="preserve">Essilor</w:t>
      </w:r>
      <w:r w:rsidDel="00000000" w:rsidR="00000000" w:rsidRPr="00000000">
        <w:rPr>
          <w:rtl w:val="0"/>
        </w:rPr>
        <w:t xml:space="preserve">, la cual es líder mundial en soluciones para la visión. Con más de 170 años de experiencia, esta compañía ha mejorado la vista de millones de personas alrededor del mundo. ¡Encuentra los </w:t>
      </w:r>
      <w:r w:rsidDel="00000000" w:rsidR="00000000" w:rsidRPr="00000000">
        <w:rPr>
          <w:b w:val="1"/>
          <w:rtl w:val="0"/>
        </w:rPr>
        <w:t xml:space="preserve">#lentesKODAKparatodos</w:t>
      </w:r>
      <w:r w:rsidDel="00000000" w:rsidR="00000000" w:rsidRPr="00000000">
        <w:rPr>
          <w:rtl w:val="0"/>
        </w:rPr>
        <w:t xml:space="preserve">!</w:t>
      </w:r>
    </w:p>
    <w:p w:rsidR="00000000" w:rsidDel="00000000" w:rsidP="00000000" w:rsidRDefault="00000000" w:rsidRPr="00000000" w14:paraId="0000000A">
      <w:pPr>
        <w:jc w:val="both"/>
        <w:rPr/>
      </w:pPr>
      <w:r w:rsidDel="00000000" w:rsidR="00000000" w:rsidRPr="00000000">
        <w:rPr>
          <w:rtl w:val="0"/>
        </w:rPr>
      </w:r>
    </w:p>
    <w:p w:rsidR="00000000" w:rsidDel="00000000" w:rsidP="00000000" w:rsidRDefault="00000000" w:rsidRPr="00000000" w14:paraId="0000000B">
      <w:pPr>
        <w:jc w:val="both"/>
        <w:rPr>
          <w:b w:val="1"/>
          <w:sz w:val="20"/>
          <w:szCs w:val="20"/>
        </w:rPr>
      </w:pPr>
      <w:r w:rsidDel="00000000" w:rsidR="00000000" w:rsidRPr="00000000">
        <w:rPr>
          <w:rtl w:val="0"/>
        </w:rPr>
        <w:t xml:space="preserve">###</w:t>
        <w:br w:type="textWrapping"/>
        <w:br w:type="textWrapping"/>
      </w:r>
      <w:r w:rsidDel="00000000" w:rsidR="00000000" w:rsidRPr="00000000">
        <w:rPr>
          <w:b w:val="1"/>
          <w:sz w:val="20"/>
          <w:szCs w:val="20"/>
          <w:rtl w:val="0"/>
        </w:rPr>
        <w:t xml:space="preserve">SOBRE ESSILOR</w:t>
      </w:r>
    </w:p>
    <w:p w:rsidR="00000000" w:rsidDel="00000000" w:rsidP="00000000" w:rsidRDefault="00000000" w:rsidRPr="00000000" w14:paraId="0000000C">
      <w:pPr>
        <w:jc w:val="both"/>
        <w:rPr>
          <w:sz w:val="20"/>
          <w:szCs w:val="20"/>
        </w:rPr>
      </w:pPr>
      <w:r w:rsidDel="00000000" w:rsidR="00000000" w:rsidRPr="00000000">
        <w:rPr>
          <w:sz w:val="20"/>
          <w:szCs w:val="20"/>
          <w:rtl w:val="0"/>
        </w:rPr>
        <w:t xml:space="preserve">Essilor es la compañía líder mundial en soluciones para la visión. Diseña, fabrica y comercializa una amplia gama de lentes para mejorar y proteger la vista. Su misión es mejorar la vida de las personas mejorando su visión. Essilor destina más de 200 millones de euros al año en investigación e innovación con el fin de ofrecer productos innovadores y eficaces en el mercado. Sus principales marcas son: Varilux®, Crizal®, Transitions®, EyezenTM, Xperio®, Foster Grant®, BolonTM y Costa®. También desarrolla y comercializa equipos, instrumentos y servicios para profesionales de la salud visual.</w:t>
      </w:r>
    </w:p>
    <w:p w:rsidR="00000000" w:rsidDel="00000000" w:rsidP="00000000" w:rsidRDefault="00000000" w:rsidRPr="00000000" w14:paraId="0000000D">
      <w:pPr>
        <w:jc w:val="both"/>
        <w:rPr>
          <w:sz w:val="20"/>
          <w:szCs w:val="20"/>
        </w:rPr>
      </w:pPr>
      <w:r w:rsidDel="00000000" w:rsidR="00000000" w:rsidRPr="00000000">
        <w:rPr>
          <w:rtl w:val="0"/>
        </w:rPr>
      </w:r>
    </w:p>
    <w:p w:rsidR="00000000" w:rsidDel="00000000" w:rsidP="00000000" w:rsidRDefault="00000000" w:rsidRPr="00000000" w14:paraId="0000000E">
      <w:pPr>
        <w:jc w:val="both"/>
        <w:rPr>
          <w:sz w:val="20"/>
          <w:szCs w:val="20"/>
        </w:rPr>
      </w:pPr>
      <w:r w:rsidDel="00000000" w:rsidR="00000000" w:rsidRPr="00000000">
        <w:rPr>
          <w:sz w:val="20"/>
          <w:szCs w:val="20"/>
          <w:rtl w:val="0"/>
        </w:rPr>
        <w:t xml:space="preserve">Essilor reportó ingresos consolidados de alrededor de 7.5 billones de euros en 2017 y genera empleos para aproximadamente 67,000 personas en todo el mundo. Cuenta con 34 plantas, 481 laboratorios de prescripción y tallado, así como 4 centros de investigación y desarrollo en todo el mundo.</w:t>
      </w:r>
    </w:p>
    <w:p w:rsidR="00000000" w:rsidDel="00000000" w:rsidP="00000000" w:rsidRDefault="00000000" w:rsidRPr="00000000" w14:paraId="0000000F">
      <w:pPr>
        <w:jc w:val="both"/>
        <w:rPr>
          <w:sz w:val="20"/>
          <w:szCs w:val="20"/>
        </w:rPr>
      </w:pPr>
      <w:r w:rsidDel="00000000" w:rsidR="00000000" w:rsidRPr="00000000">
        <w:rPr>
          <w:rtl w:val="0"/>
        </w:rPr>
      </w:r>
    </w:p>
    <w:p w:rsidR="00000000" w:rsidDel="00000000" w:rsidP="00000000" w:rsidRDefault="00000000" w:rsidRPr="00000000" w14:paraId="00000010">
      <w:pPr>
        <w:spacing w:line="276" w:lineRule="auto"/>
        <w:jc w:val="both"/>
        <w:rPr>
          <w:rFonts w:ascii="Open Sans" w:cs="Open Sans" w:eastAsia="Open Sans" w:hAnsi="Open Sans"/>
          <w:sz w:val="20"/>
          <w:szCs w:val="20"/>
        </w:rPr>
      </w:pPr>
      <w:r w:rsidDel="00000000" w:rsidR="00000000" w:rsidRPr="00000000">
        <w:rPr>
          <w:rtl w:val="0"/>
        </w:rPr>
      </w:r>
    </w:p>
    <w:p w:rsidR="00000000" w:rsidDel="00000000" w:rsidP="00000000" w:rsidRDefault="00000000" w:rsidRPr="00000000" w14:paraId="00000011">
      <w:pPr>
        <w:spacing w:line="276" w:lineRule="auto"/>
        <w:jc w:val="both"/>
        <w:rPr>
          <w:b w:val="1"/>
          <w:sz w:val="20"/>
          <w:szCs w:val="20"/>
        </w:rPr>
      </w:pPr>
      <w:r w:rsidDel="00000000" w:rsidR="00000000" w:rsidRPr="00000000">
        <w:rPr>
          <w:b w:val="1"/>
          <w:sz w:val="20"/>
          <w:szCs w:val="20"/>
          <w:rtl w:val="0"/>
        </w:rPr>
        <w:t xml:space="preserve">Contacto para medios</w:t>
      </w:r>
    </w:p>
    <w:p w:rsidR="00000000" w:rsidDel="00000000" w:rsidP="00000000" w:rsidRDefault="00000000" w:rsidRPr="00000000" w14:paraId="00000012">
      <w:pPr>
        <w:spacing w:line="276" w:lineRule="auto"/>
        <w:jc w:val="both"/>
        <w:rPr>
          <w:color w:val="222222"/>
          <w:sz w:val="20"/>
          <w:szCs w:val="20"/>
          <w:highlight w:val="white"/>
        </w:rPr>
      </w:pPr>
      <w:r w:rsidDel="00000000" w:rsidR="00000000" w:rsidRPr="00000000">
        <w:rPr>
          <w:color w:val="222222"/>
          <w:sz w:val="20"/>
          <w:szCs w:val="20"/>
          <w:highlight w:val="white"/>
          <w:rtl w:val="0"/>
        </w:rPr>
        <w:t xml:space="preserve">Karla Gomez</w:t>
      </w:r>
    </w:p>
    <w:p w:rsidR="00000000" w:rsidDel="00000000" w:rsidP="00000000" w:rsidRDefault="00000000" w:rsidRPr="00000000" w14:paraId="00000013">
      <w:pPr>
        <w:spacing w:line="276" w:lineRule="auto"/>
        <w:jc w:val="both"/>
        <w:rPr>
          <w:color w:val="222222"/>
          <w:sz w:val="20"/>
          <w:szCs w:val="20"/>
          <w:highlight w:val="white"/>
        </w:rPr>
      </w:pPr>
      <w:r w:rsidDel="00000000" w:rsidR="00000000" w:rsidRPr="00000000">
        <w:rPr>
          <w:color w:val="222222"/>
          <w:sz w:val="20"/>
          <w:szCs w:val="20"/>
          <w:highlight w:val="white"/>
          <w:rtl w:val="0"/>
        </w:rPr>
        <w:t xml:space="preserve">Account Executive</w:t>
      </w:r>
    </w:p>
    <w:p w:rsidR="00000000" w:rsidDel="00000000" w:rsidP="00000000" w:rsidRDefault="00000000" w:rsidRPr="00000000" w14:paraId="00000014">
      <w:pPr>
        <w:spacing w:line="276" w:lineRule="auto"/>
        <w:jc w:val="both"/>
        <w:rPr>
          <w:sz w:val="20"/>
          <w:szCs w:val="20"/>
        </w:rPr>
      </w:pPr>
      <w:hyperlink r:id="rId6">
        <w:r w:rsidDel="00000000" w:rsidR="00000000" w:rsidRPr="00000000">
          <w:rPr>
            <w:color w:val="1155cc"/>
            <w:sz w:val="20"/>
            <w:szCs w:val="20"/>
            <w:highlight w:val="white"/>
            <w:u w:val="single"/>
            <w:rtl w:val="0"/>
          </w:rPr>
          <w:t xml:space="preserve">karla.gomez@another.co</w:t>
        </w:r>
      </w:hyperlink>
      <w:r w:rsidDel="00000000" w:rsidR="00000000" w:rsidRPr="00000000">
        <w:rPr>
          <w:rtl w:val="0"/>
        </w:rPr>
      </w:r>
    </w:p>
    <w:p w:rsidR="00000000" w:rsidDel="00000000" w:rsidP="00000000" w:rsidRDefault="00000000" w:rsidRPr="00000000" w14:paraId="00000015">
      <w:pPr>
        <w:jc w:val="both"/>
        <w:rPr>
          <w:rFonts w:ascii="Georgia" w:cs="Georgia" w:eastAsia="Georgia" w:hAnsi="Georgia"/>
          <w:sz w:val="24"/>
          <w:szCs w:val="24"/>
          <w:highlight w:val="white"/>
        </w:rPr>
      </w:pPr>
      <w:r w:rsidDel="00000000" w:rsidR="00000000" w:rsidRPr="00000000">
        <w:rPr>
          <w:rtl w:val="0"/>
        </w:rPr>
      </w:r>
    </w:p>
    <w:p w:rsidR="00000000" w:rsidDel="00000000" w:rsidP="00000000" w:rsidRDefault="00000000" w:rsidRPr="00000000" w14:paraId="00000016">
      <w:pPr>
        <w:jc w:val="both"/>
        <w:rPr>
          <w:sz w:val="24"/>
          <w:szCs w:val="24"/>
          <w:highlight w:val="white"/>
        </w:rPr>
      </w:pPr>
      <w:r w:rsidDel="00000000" w:rsidR="00000000" w:rsidRPr="00000000">
        <w:rPr>
          <w:rtl w:val="0"/>
        </w:rPr>
      </w:r>
    </w:p>
    <w:p w:rsidR="00000000" w:rsidDel="00000000" w:rsidP="00000000" w:rsidRDefault="00000000" w:rsidRPr="00000000" w14:paraId="00000017">
      <w:pPr>
        <w:jc w:val="both"/>
        <w:rPr/>
      </w:pPr>
      <w:r w:rsidDel="00000000" w:rsidR="00000000" w:rsidRPr="00000000">
        <w:rPr>
          <w:rtl w:val="0"/>
        </w:rPr>
      </w:r>
    </w:p>
    <w:sectPr>
      <w:head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Open San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8">
    <w:pPr>
      <w:jc w:val="center"/>
      <w:rPr/>
    </w:pPr>
    <w:r w:rsidDel="00000000" w:rsidR="00000000" w:rsidRPr="00000000">
      <w:rPr/>
      <w:drawing>
        <wp:inline distB="114300" distT="114300" distL="114300" distR="114300">
          <wp:extent cx="976313" cy="1159371"/>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976313" cy="1159371"/>
                  </a:xfrm>
                  <a:prstGeom prst="rect"/>
                  <a:ln/>
                </pic:spPr>
              </pic:pic>
            </a:graphicData>
          </a:graphic>
        </wp:inline>
      </w:drawing>
    </w:r>
    <w:r w:rsidDel="00000000" w:rsidR="00000000" w:rsidRPr="00000000">
      <w:rPr>
        <w:rtl w:val="0"/>
      </w:rPr>
    </w:r>
  </w:p>
  <w:p w:rsidR="00000000" w:rsidDel="00000000" w:rsidP="00000000" w:rsidRDefault="00000000" w:rsidRPr="00000000" w14:paraId="00000019">
    <w:pPr>
      <w:jc w:val="cente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karla.gomez@another.co" TargetMode="External"/><Relationship Id="rId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